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E83AB4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5527F1" w:rsidRPr="00E83AB4" w:rsidRDefault="00173B11" w:rsidP="00517FE4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E83AB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D30C29" w:rsidRPr="00E83AB4">
        <w:rPr>
          <w:rFonts w:ascii="Times New Roman" w:hAnsi="Times New Roman"/>
          <w:b/>
          <w:sz w:val="24"/>
          <w:szCs w:val="24"/>
        </w:rPr>
        <w:t xml:space="preserve">               </w:t>
      </w:r>
      <w:r w:rsidR="000573C6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2D27A0" w:rsidRPr="00E83AB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573C6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F302DD" w:rsidRPr="00E83AB4">
        <w:rPr>
          <w:rFonts w:ascii="Times New Roman" w:hAnsi="Times New Roman"/>
          <w:b/>
          <w:sz w:val="24"/>
          <w:szCs w:val="24"/>
        </w:rPr>
        <w:t xml:space="preserve">     </w:t>
      </w:r>
      <w:r w:rsidR="000573C6" w:rsidRPr="00E83AB4">
        <w:rPr>
          <w:rFonts w:ascii="Times New Roman" w:hAnsi="Times New Roman"/>
          <w:b/>
          <w:sz w:val="24"/>
          <w:szCs w:val="24"/>
        </w:rPr>
        <w:t xml:space="preserve">  </w:t>
      </w:r>
      <w:r w:rsidR="00A069C8">
        <w:rPr>
          <w:rFonts w:ascii="Times New Roman" w:hAnsi="Times New Roman"/>
          <w:b/>
          <w:sz w:val="24"/>
          <w:szCs w:val="24"/>
        </w:rPr>
        <w:t>2</w:t>
      </w:r>
      <w:r w:rsidR="00E83AB4" w:rsidRPr="00E83AB4">
        <w:rPr>
          <w:rFonts w:ascii="Times New Roman" w:hAnsi="Times New Roman"/>
          <w:b/>
          <w:sz w:val="24"/>
          <w:szCs w:val="24"/>
        </w:rPr>
        <w:t>0</w:t>
      </w:r>
      <w:r w:rsidR="00770941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426A80" w:rsidRPr="00E83AB4">
        <w:rPr>
          <w:rFonts w:ascii="Times New Roman" w:hAnsi="Times New Roman"/>
          <w:b/>
          <w:sz w:val="24"/>
          <w:szCs w:val="24"/>
        </w:rPr>
        <w:t>ДЕКА</w:t>
      </w:r>
      <w:r w:rsidR="000B7330" w:rsidRPr="00E83AB4">
        <w:rPr>
          <w:rFonts w:ascii="Times New Roman" w:hAnsi="Times New Roman"/>
          <w:b/>
          <w:sz w:val="24"/>
          <w:szCs w:val="24"/>
        </w:rPr>
        <w:t>БРЯ</w:t>
      </w:r>
      <w:r w:rsidR="00AE0AA6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C96E80" w:rsidRPr="00E83AB4">
        <w:rPr>
          <w:rFonts w:ascii="Times New Roman" w:hAnsi="Times New Roman"/>
          <w:b/>
          <w:sz w:val="24"/>
          <w:szCs w:val="24"/>
        </w:rPr>
        <w:t>20</w:t>
      </w:r>
      <w:r w:rsidR="002D27A0" w:rsidRPr="00E83AB4">
        <w:rPr>
          <w:rFonts w:ascii="Times New Roman" w:hAnsi="Times New Roman"/>
          <w:b/>
          <w:sz w:val="24"/>
          <w:szCs w:val="24"/>
        </w:rPr>
        <w:t>2</w:t>
      </w:r>
      <w:r w:rsidR="00086B47" w:rsidRPr="00E83AB4">
        <w:rPr>
          <w:rFonts w:ascii="Times New Roman" w:hAnsi="Times New Roman"/>
          <w:b/>
          <w:sz w:val="24"/>
          <w:szCs w:val="24"/>
        </w:rPr>
        <w:t>1</w:t>
      </w:r>
      <w:r w:rsidR="00B13636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737FC8" w:rsidRPr="00E83AB4">
        <w:rPr>
          <w:rFonts w:ascii="Times New Roman" w:hAnsi="Times New Roman"/>
          <w:b/>
          <w:sz w:val="24"/>
          <w:szCs w:val="24"/>
        </w:rPr>
        <w:t>г</w:t>
      </w:r>
      <w:r w:rsidR="00B13636" w:rsidRPr="00E83AB4">
        <w:rPr>
          <w:rFonts w:ascii="Times New Roman" w:hAnsi="Times New Roman"/>
          <w:b/>
          <w:sz w:val="24"/>
          <w:szCs w:val="24"/>
        </w:rPr>
        <w:t>ода</w:t>
      </w:r>
      <w:r w:rsidR="00737FC8" w:rsidRPr="00E83AB4">
        <w:rPr>
          <w:rFonts w:ascii="Times New Roman" w:hAnsi="Times New Roman"/>
          <w:b/>
          <w:sz w:val="24"/>
          <w:szCs w:val="24"/>
        </w:rPr>
        <w:t xml:space="preserve">. </w:t>
      </w:r>
      <w:r w:rsidR="00A15F82" w:rsidRPr="00E83AB4">
        <w:rPr>
          <w:rFonts w:ascii="Times New Roman" w:hAnsi="Times New Roman"/>
          <w:b/>
          <w:sz w:val="24"/>
          <w:szCs w:val="24"/>
        </w:rPr>
        <w:t xml:space="preserve">№ </w:t>
      </w:r>
      <w:r w:rsidR="00B17459" w:rsidRPr="00E83AB4">
        <w:rPr>
          <w:rFonts w:ascii="Times New Roman" w:hAnsi="Times New Roman"/>
          <w:b/>
          <w:sz w:val="24"/>
          <w:szCs w:val="24"/>
        </w:rPr>
        <w:t>3</w:t>
      </w:r>
      <w:r w:rsidR="00A069C8">
        <w:rPr>
          <w:rFonts w:ascii="Times New Roman" w:hAnsi="Times New Roman"/>
          <w:b/>
          <w:sz w:val="24"/>
          <w:szCs w:val="24"/>
        </w:rPr>
        <w:t>3</w:t>
      </w:r>
      <w:r w:rsidR="00E42C05" w:rsidRPr="00E83AB4">
        <w:rPr>
          <w:rFonts w:ascii="Times New Roman" w:hAnsi="Times New Roman"/>
          <w:b/>
          <w:sz w:val="24"/>
          <w:szCs w:val="24"/>
        </w:rPr>
        <w:t xml:space="preserve"> </w:t>
      </w:r>
      <w:r w:rsidR="00A15F82" w:rsidRPr="00E83AB4">
        <w:rPr>
          <w:rFonts w:ascii="Times New Roman" w:hAnsi="Times New Roman"/>
          <w:b/>
          <w:sz w:val="24"/>
          <w:szCs w:val="24"/>
        </w:rPr>
        <w:t>(</w:t>
      </w:r>
      <w:r w:rsidR="00BA1A92" w:rsidRPr="00E83AB4">
        <w:rPr>
          <w:rFonts w:ascii="Times New Roman" w:hAnsi="Times New Roman"/>
          <w:b/>
          <w:sz w:val="24"/>
          <w:szCs w:val="24"/>
        </w:rPr>
        <w:t>2</w:t>
      </w:r>
      <w:r w:rsidR="006C2764" w:rsidRPr="00E83AB4">
        <w:rPr>
          <w:rFonts w:ascii="Times New Roman" w:hAnsi="Times New Roman"/>
          <w:b/>
          <w:sz w:val="24"/>
          <w:szCs w:val="24"/>
        </w:rPr>
        <w:t>7</w:t>
      </w:r>
      <w:r w:rsidR="00A069C8">
        <w:rPr>
          <w:rFonts w:ascii="Times New Roman" w:hAnsi="Times New Roman"/>
          <w:b/>
          <w:sz w:val="24"/>
          <w:szCs w:val="24"/>
        </w:rPr>
        <w:t>7</w:t>
      </w:r>
      <w:r w:rsidR="00A15F82" w:rsidRPr="00E83AB4">
        <w:rPr>
          <w:rFonts w:ascii="Times New Roman" w:hAnsi="Times New Roman"/>
          <w:b/>
          <w:sz w:val="24"/>
          <w:szCs w:val="24"/>
        </w:rPr>
        <w:t>)</w:t>
      </w:r>
      <w:bookmarkStart w:id="0" w:name="_Toc243376849"/>
      <w:bookmarkStart w:id="1" w:name="_Toc243048133"/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C63061" w:rsidRPr="00E83AB4" w:rsidTr="001B7662">
        <w:trPr>
          <w:trHeight w:val="405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3061" w:rsidRPr="00E83AB4" w:rsidRDefault="00C63061" w:rsidP="00C6306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AB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C63061" w:rsidRPr="00E83AB4" w:rsidRDefault="00C63061" w:rsidP="00C63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AB4">
              <w:rPr>
                <w:rFonts w:ascii="Times New Roman" w:hAnsi="Times New Roman"/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C63061" w:rsidRPr="00E83AB4" w:rsidTr="001B7662">
        <w:trPr>
          <w:trHeight w:val="1059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B4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</w:tr>
      <w:tr w:rsidR="00C63061" w:rsidRPr="00E83AB4" w:rsidTr="001B7662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061" w:rsidRPr="00E83AB4" w:rsidRDefault="00C63061" w:rsidP="00C63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662" w:rsidRPr="001B7662" w:rsidTr="001B7662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662" w:rsidRPr="001B7662" w:rsidRDefault="001B7662" w:rsidP="001B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62">
              <w:rPr>
                <w:rFonts w:ascii="Times New Roman" w:hAnsi="Times New Roman"/>
                <w:sz w:val="24"/>
                <w:szCs w:val="24"/>
              </w:rPr>
              <w:t xml:space="preserve">17.12.2021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662" w:rsidRPr="001B7662" w:rsidRDefault="001B7662" w:rsidP="001B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6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B7662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662" w:rsidRPr="001B7662" w:rsidRDefault="001B7662" w:rsidP="001B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662" w:rsidRPr="001B7662" w:rsidRDefault="001B7662" w:rsidP="001B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7662" w:rsidRPr="001B7662" w:rsidRDefault="001B7662" w:rsidP="001B7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6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B7662">
              <w:rPr>
                <w:rFonts w:ascii="Times New Roman" w:hAnsi="Times New Roman"/>
                <w:sz w:val="24"/>
                <w:szCs w:val="24"/>
              </w:rPr>
              <w:t xml:space="preserve"> №  64-пг</w:t>
            </w:r>
          </w:p>
        </w:tc>
      </w:tr>
    </w:tbl>
    <w:p w:rsidR="001B7662" w:rsidRPr="001B7662" w:rsidRDefault="001B7662" w:rsidP="001B7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662" w:rsidRPr="001B7662" w:rsidRDefault="001B7662" w:rsidP="001B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662">
        <w:rPr>
          <w:rFonts w:ascii="Times New Roman" w:hAnsi="Times New Roman"/>
          <w:sz w:val="24"/>
          <w:szCs w:val="24"/>
        </w:rPr>
        <w:t>Об утверждении перечня главных администраторов доходов местного бюджета</w:t>
      </w:r>
    </w:p>
    <w:p w:rsidR="001B7662" w:rsidRPr="001B7662" w:rsidRDefault="001B7662" w:rsidP="001B76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B7662" w:rsidRPr="001B7662" w:rsidRDefault="001B7662" w:rsidP="001B7662">
      <w:pPr>
        <w:keepNext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B766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1B7662">
          <w:rPr>
            <w:rFonts w:ascii="Times New Roman" w:hAnsi="Times New Roman"/>
            <w:sz w:val="24"/>
            <w:szCs w:val="24"/>
          </w:rPr>
          <w:t>пунктом 3.2 статьи 160.1</w:t>
        </w:r>
      </w:hyperlink>
      <w:r w:rsidRPr="001B7662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1B7662">
        <w:rPr>
          <w:rFonts w:ascii="Times New Roman" w:hAnsi="Times New Roman"/>
          <w:sz w:val="24"/>
          <w:szCs w:val="24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1B7662">
        <w:rPr>
          <w:rFonts w:ascii="Times New Roman" w:hAnsi="Times New Roman"/>
          <w:sz w:val="24"/>
          <w:szCs w:val="24"/>
        </w:rPr>
        <w:t xml:space="preserve"> </w:t>
      </w:r>
      <w:r w:rsidRPr="001B7662">
        <w:rPr>
          <w:rFonts w:ascii="Times New Roman" w:hAnsi="Times New Roman"/>
          <w:sz w:val="24"/>
          <w:szCs w:val="24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hyperlink r:id="rId10" w:history="1">
        <w:r w:rsidRPr="001B7662">
          <w:rPr>
            <w:rFonts w:ascii="Times New Roman" w:hAnsi="Times New Roman"/>
            <w:sz w:val="24"/>
            <w:szCs w:val="24"/>
          </w:rPr>
          <w:t>статьями</w:t>
        </w:r>
      </w:hyperlink>
      <w:r w:rsidRPr="001B7662">
        <w:rPr>
          <w:rFonts w:ascii="Times New Roman" w:hAnsi="Times New Roman"/>
          <w:sz w:val="24"/>
          <w:szCs w:val="24"/>
        </w:rPr>
        <w:t xml:space="preserve"> 44 - 47 Устава </w:t>
      </w:r>
      <w:proofErr w:type="spellStart"/>
      <w:r w:rsidRPr="001B766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B766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B7662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B7662">
        <w:rPr>
          <w:rFonts w:ascii="Times New Roman" w:hAnsi="Times New Roman"/>
          <w:sz w:val="24"/>
          <w:szCs w:val="24"/>
        </w:rPr>
        <w:t xml:space="preserve"> района Красноярского края, решением </w:t>
      </w:r>
      <w:proofErr w:type="spellStart"/>
      <w:r w:rsidRPr="001B766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B7662">
        <w:rPr>
          <w:rFonts w:ascii="Times New Roman" w:hAnsi="Times New Roman"/>
          <w:sz w:val="24"/>
          <w:szCs w:val="24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1B766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B7662">
        <w:rPr>
          <w:rFonts w:ascii="Times New Roman" w:hAnsi="Times New Roman"/>
          <w:sz w:val="24"/>
          <w:szCs w:val="24"/>
        </w:rPr>
        <w:t xml:space="preserve"> сельсовета» ПОСТАНОВЛЯЮ:</w:t>
      </w:r>
    </w:p>
    <w:p w:rsidR="001B7662" w:rsidRPr="001B7662" w:rsidRDefault="001B7662" w:rsidP="001B766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7662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местного бюджета (прилагается).</w:t>
      </w:r>
    </w:p>
    <w:p w:rsidR="001B7662" w:rsidRPr="001B7662" w:rsidRDefault="001B7662" w:rsidP="001B766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662">
        <w:rPr>
          <w:rFonts w:ascii="Times New Roman" w:hAnsi="Times New Roman"/>
          <w:sz w:val="24"/>
          <w:szCs w:val="24"/>
        </w:rPr>
        <w:t xml:space="preserve">Установить, что 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(подвидов) доходов бюджета за главными администраторами доходов местного бюджета, являющимися органами местного самоуправления Красноярского края, осуществляется правовыми актами администрации </w:t>
      </w:r>
      <w:proofErr w:type="spellStart"/>
      <w:r w:rsidRPr="001B766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B7662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Pr="001B7662">
        <w:rPr>
          <w:rFonts w:ascii="Times New Roman" w:hAnsi="Times New Roman"/>
          <w:sz w:val="24"/>
          <w:szCs w:val="24"/>
        </w:rPr>
        <w:t xml:space="preserve"> Красноярского края.</w:t>
      </w:r>
    </w:p>
    <w:p w:rsidR="001B7662" w:rsidRPr="001B7662" w:rsidRDefault="001B7662" w:rsidP="001B76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B7662" w:rsidRP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662">
        <w:rPr>
          <w:rFonts w:ascii="Times New Roman" w:hAnsi="Times New Roman"/>
          <w:sz w:val="24"/>
          <w:szCs w:val="24"/>
        </w:rPr>
        <w:t>3. Опубликовать постановление в информационном бюллетене «</w:t>
      </w:r>
      <w:proofErr w:type="spellStart"/>
      <w:r w:rsidRPr="001B7662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1B7662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1B766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1B7662">
        <w:rPr>
          <w:rFonts w:ascii="Times New Roman" w:hAnsi="Times New Roman"/>
          <w:sz w:val="24"/>
          <w:szCs w:val="24"/>
        </w:rPr>
        <w:t xml:space="preserve"> сельсовета (</w:t>
      </w:r>
      <w:r w:rsidRPr="001B7662">
        <w:rPr>
          <w:rFonts w:ascii="Times New Roman" w:hAnsi="Times New Roman"/>
          <w:sz w:val="24"/>
          <w:szCs w:val="24"/>
          <w:lang w:val="en-US"/>
        </w:rPr>
        <w:t>http</w:t>
      </w:r>
      <w:r w:rsidRPr="001B7662">
        <w:rPr>
          <w:rFonts w:ascii="Times New Roman" w:hAnsi="Times New Roman"/>
          <w:sz w:val="24"/>
          <w:szCs w:val="24"/>
        </w:rPr>
        <w:t>://</w:t>
      </w:r>
      <w:proofErr w:type="spellStart"/>
      <w:r w:rsidRPr="001B7662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1B7662">
        <w:rPr>
          <w:rFonts w:ascii="Times New Roman" w:hAnsi="Times New Roman"/>
          <w:sz w:val="24"/>
          <w:szCs w:val="24"/>
        </w:rPr>
        <w:t>.</w:t>
      </w:r>
      <w:proofErr w:type="spellStart"/>
      <w:r w:rsidRPr="001B7662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1B7662">
        <w:rPr>
          <w:rFonts w:ascii="Times New Roman" w:hAnsi="Times New Roman"/>
          <w:sz w:val="24"/>
          <w:szCs w:val="24"/>
        </w:rPr>
        <w:t>.</w:t>
      </w:r>
      <w:proofErr w:type="spellStart"/>
      <w:r w:rsidRPr="001B7662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1B7662">
        <w:rPr>
          <w:rFonts w:ascii="Times New Roman" w:hAnsi="Times New Roman"/>
          <w:sz w:val="24"/>
          <w:szCs w:val="24"/>
        </w:rPr>
        <w:t>).</w:t>
      </w:r>
    </w:p>
    <w:p w:rsidR="001B7662" w:rsidRP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66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B76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7662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1B7662" w:rsidRPr="001B7662" w:rsidRDefault="001B7662" w:rsidP="001B766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B7662">
        <w:rPr>
          <w:rFonts w:ascii="Times New Roman" w:hAnsi="Times New Roman"/>
          <w:sz w:val="24"/>
          <w:szCs w:val="24"/>
        </w:rPr>
        <w:lastRenderedPageBreak/>
        <w:t>5.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1B7662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1B7662">
        <w:rPr>
          <w:rFonts w:ascii="Times New Roman" w:hAnsi="Times New Roman"/>
          <w:sz w:val="24"/>
          <w:szCs w:val="24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2023–2024 годов.</w:t>
      </w:r>
    </w:p>
    <w:p w:rsidR="001B7662" w:rsidRPr="001B7662" w:rsidRDefault="001B7662" w:rsidP="001B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3AB4" w:rsidRPr="001B7662" w:rsidRDefault="00E83AB4" w:rsidP="00E83AB4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3AB4" w:rsidRPr="001B7662" w:rsidRDefault="00E83AB4" w:rsidP="00E83AB4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B7662">
        <w:rPr>
          <w:rFonts w:ascii="Times New Roman" w:hAnsi="Times New Roman"/>
          <w:color w:val="000000"/>
          <w:spacing w:val="-2"/>
          <w:sz w:val="24"/>
          <w:szCs w:val="24"/>
        </w:rPr>
        <w:t xml:space="preserve">С.А. </w:t>
      </w:r>
      <w:proofErr w:type="spellStart"/>
      <w:r w:rsidRPr="001B7662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  <w:r w:rsidRPr="001B7662">
        <w:rPr>
          <w:rFonts w:ascii="Times New Roman" w:hAnsi="Times New Roman"/>
          <w:color w:val="000000"/>
          <w:spacing w:val="-2"/>
          <w:sz w:val="24"/>
          <w:szCs w:val="24"/>
        </w:rPr>
        <w:t>, глава сельсовета.</w:t>
      </w:r>
    </w:p>
    <w:p w:rsidR="00E83AB4" w:rsidRPr="001B7662" w:rsidRDefault="00E83AB4" w:rsidP="00E83AB4">
      <w:pPr>
        <w:tabs>
          <w:tab w:val="left" w:pos="5940"/>
        </w:tabs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</w:p>
    <w:p w:rsidR="00E83AB4" w:rsidRPr="001B7662" w:rsidRDefault="00E83AB4" w:rsidP="00E83A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1B7662">
        <w:rPr>
          <w:rFonts w:ascii="Times New Roman" w:hAnsi="Times New Roman"/>
          <w:bCs/>
          <w:color w:val="000000"/>
          <w:sz w:val="24"/>
          <w:szCs w:val="24"/>
        </w:rPr>
        <w:t>УТВЕРЖДЕН</w:t>
      </w:r>
    </w:p>
    <w:p w:rsidR="00E83AB4" w:rsidRPr="001B7662" w:rsidRDefault="00E83AB4" w:rsidP="00E83A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1B7662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E83AB4" w:rsidRPr="001B7662" w:rsidRDefault="00E83AB4" w:rsidP="00E83A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B7662">
        <w:rPr>
          <w:rFonts w:ascii="Times New Roman" w:hAnsi="Times New Roman"/>
          <w:color w:val="000000"/>
          <w:sz w:val="24"/>
          <w:szCs w:val="24"/>
        </w:rPr>
        <w:t>Тумаковского</w:t>
      </w:r>
      <w:proofErr w:type="spellEnd"/>
      <w:r w:rsidRPr="001B7662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E83AB4" w:rsidRPr="001B7662" w:rsidRDefault="00E83AB4" w:rsidP="00E83AB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1B766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713BA">
        <w:rPr>
          <w:rFonts w:ascii="Times New Roman" w:hAnsi="Times New Roman"/>
          <w:color w:val="000000"/>
          <w:sz w:val="24"/>
          <w:szCs w:val="24"/>
        </w:rPr>
        <w:t>17</w:t>
      </w:r>
      <w:r w:rsidRPr="001B7662">
        <w:rPr>
          <w:rFonts w:ascii="Times New Roman" w:hAnsi="Times New Roman"/>
          <w:color w:val="000000"/>
          <w:sz w:val="24"/>
          <w:szCs w:val="24"/>
        </w:rPr>
        <w:t>.12.2021 № 6</w:t>
      </w:r>
      <w:r w:rsidR="003713BA">
        <w:rPr>
          <w:rFonts w:ascii="Times New Roman" w:hAnsi="Times New Roman"/>
          <w:color w:val="000000"/>
          <w:sz w:val="24"/>
          <w:szCs w:val="24"/>
        </w:rPr>
        <w:t>4</w:t>
      </w:r>
      <w:r w:rsidRPr="001B7662">
        <w:rPr>
          <w:rFonts w:ascii="Times New Roman" w:hAnsi="Times New Roman"/>
          <w:color w:val="000000"/>
          <w:sz w:val="24"/>
          <w:szCs w:val="24"/>
        </w:rPr>
        <w:t>-пг</w:t>
      </w:r>
    </w:p>
    <w:p w:rsidR="003713BA" w:rsidRPr="001B7662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3"/>
        <w:gridCol w:w="1106"/>
        <w:gridCol w:w="1818"/>
        <w:gridCol w:w="5877"/>
      </w:tblGrid>
      <w:tr w:rsidR="003713BA" w:rsidRPr="003713BA" w:rsidTr="003713BA">
        <w:trPr>
          <w:trHeight w:val="31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7695" w:type="dxa"/>
            <w:gridSpan w:val="2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3713BA">
              <w:rPr>
                <w:b/>
                <w:bCs/>
                <w:sz w:val="24"/>
                <w:szCs w:val="24"/>
                <w:lang w:eastAsia="x-none"/>
              </w:rPr>
              <w:t xml:space="preserve">Перечень главных администраторов доходов сельских поселений  на 2022 год и плановый период 2023-2024 </w:t>
            </w:r>
            <w:proofErr w:type="spellStart"/>
            <w:r w:rsidRPr="003713BA">
              <w:rPr>
                <w:b/>
                <w:bCs/>
                <w:sz w:val="24"/>
                <w:szCs w:val="24"/>
                <w:lang w:eastAsia="x-none"/>
              </w:rPr>
              <w:t>г.</w:t>
            </w:r>
            <w:proofErr w:type="gramStart"/>
            <w:r w:rsidRPr="003713BA">
              <w:rPr>
                <w:b/>
                <w:bCs/>
                <w:sz w:val="24"/>
                <w:szCs w:val="24"/>
                <w:lang w:eastAsia="x-none"/>
              </w:rPr>
              <w:t>г</w:t>
            </w:r>
            <w:proofErr w:type="spellEnd"/>
            <w:proofErr w:type="gramEnd"/>
            <w:r w:rsidRPr="003713BA">
              <w:rPr>
                <w:b/>
                <w:bCs/>
                <w:sz w:val="24"/>
                <w:szCs w:val="24"/>
                <w:lang w:eastAsia="x-none"/>
              </w:rPr>
              <w:t>.</w:t>
            </w:r>
          </w:p>
        </w:tc>
      </w:tr>
      <w:tr w:rsidR="003713BA" w:rsidRPr="003713BA" w:rsidTr="003713BA">
        <w:trPr>
          <w:trHeight w:val="31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877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b/>
                <w:bCs/>
                <w:sz w:val="24"/>
                <w:szCs w:val="24"/>
                <w:lang w:eastAsia="x-none"/>
              </w:rPr>
            </w:pPr>
          </w:p>
        </w:tc>
      </w:tr>
      <w:tr w:rsidR="003713BA" w:rsidRPr="003713BA" w:rsidTr="00923C4B">
        <w:trPr>
          <w:trHeight w:val="1268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№</w:t>
            </w:r>
          </w:p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строки</w:t>
            </w:r>
          </w:p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Код</w:t>
            </w:r>
          </w:p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proofErr w:type="spellStart"/>
            <w:r w:rsidRPr="003713BA">
              <w:rPr>
                <w:sz w:val="24"/>
                <w:szCs w:val="24"/>
                <w:lang w:eastAsia="x-none"/>
              </w:rPr>
              <w:t>админи</w:t>
            </w:r>
            <w:proofErr w:type="spellEnd"/>
            <w:r w:rsidRPr="003713BA">
              <w:rPr>
                <w:sz w:val="24"/>
                <w:szCs w:val="24"/>
                <w:lang w:eastAsia="x-none"/>
              </w:rPr>
              <w:t>-</w:t>
            </w:r>
          </w:p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proofErr w:type="spellStart"/>
            <w:r w:rsidRPr="003713BA">
              <w:rPr>
                <w:sz w:val="24"/>
                <w:szCs w:val="24"/>
                <w:lang w:eastAsia="x-none"/>
              </w:rPr>
              <w:t>стратора</w:t>
            </w:r>
            <w:proofErr w:type="spellEnd"/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Код </w:t>
            </w:r>
            <w:proofErr w:type="gramStart"/>
            <w:r w:rsidRPr="003713BA">
              <w:rPr>
                <w:sz w:val="24"/>
                <w:szCs w:val="24"/>
                <w:lang w:eastAsia="x-none"/>
              </w:rPr>
              <w:t>бюджетной</w:t>
            </w:r>
            <w:proofErr w:type="gramEnd"/>
            <w:r w:rsidRPr="003713BA">
              <w:rPr>
                <w:sz w:val="24"/>
                <w:szCs w:val="24"/>
                <w:lang w:eastAsia="x-none"/>
              </w:rPr>
              <w:t xml:space="preserve"> </w:t>
            </w:r>
          </w:p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классификации</w:t>
            </w:r>
          </w:p>
        </w:tc>
        <w:tc>
          <w:tcPr>
            <w:tcW w:w="5877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 </w:t>
            </w:r>
          </w:p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Наименование кода бюджетной классификации</w:t>
            </w:r>
          </w:p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 </w:t>
            </w:r>
          </w:p>
        </w:tc>
      </w:tr>
      <w:tr w:rsidR="003713BA" w:rsidRPr="003713BA" w:rsidTr="003713BA">
        <w:trPr>
          <w:trHeight w:val="3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 </w:t>
            </w:r>
          </w:p>
        </w:tc>
        <w:tc>
          <w:tcPr>
            <w:tcW w:w="5877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 </w:t>
            </w:r>
          </w:p>
        </w:tc>
      </w:tr>
      <w:tr w:rsidR="003713BA" w:rsidRPr="003713BA" w:rsidTr="003713BA">
        <w:trPr>
          <w:trHeight w:val="93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3713BA">
              <w:rPr>
                <w:b/>
                <w:bCs/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7695" w:type="dxa"/>
            <w:gridSpan w:val="2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3713BA">
              <w:rPr>
                <w:b/>
                <w:bCs/>
                <w:sz w:val="24"/>
                <w:szCs w:val="24"/>
                <w:lang w:eastAsia="x-none"/>
              </w:rPr>
              <w:t xml:space="preserve">Администрация </w:t>
            </w:r>
            <w:proofErr w:type="spellStart"/>
            <w:r w:rsidRPr="003713BA">
              <w:rPr>
                <w:b/>
                <w:bCs/>
                <w:sz w:val="24"/>
                <w:szCs w:val="24"/>
                <w:lang w:eastAsia="x-none"/>
              </w:rPr>
              <w:t>Тумаковского</w:t>
            </w:r>
            <w:proofErr w:type="spellEnd"/>
            <w:r w:rsidRPr="003713BA">
              <w:rPr>
                <w:b/>
                <w:bCs/>
                <w:sz w:val="24"/>
                <w:szCs w:val="24"/>
                <w:lang w:eastAsia="x-none"/>
              </w:rPr>
              <w:t xml:space="preserve"> сельсовета  </w:t>
            </w:r>
            <w:proofErr w:type="spellStart"/>
            <w:r w:rsidRPr="003713BA">
              <w:rPr>
                <w:b/>
                <w:bCs/>
                <w:sz w:val="24"/>
                <w:szCs w:val="24"/>
                <w:lang w:eastAsia="x-none"/>
              </w:rPr>
              <w:t>Ирбейского</w:t>
            </w:r>
            <w:proofErr w:type="spellEnd"/>
            <w:r w:rsidRPr="003713BA">
              <w:rPr>
                <w:b/>
                <w:bCs/>
                <w:sz w:val="24"/>
                <w:szCs w:val="24"/>
                <w:lang w:eastAsia="x-none"/>
              </w:rPr>
              <w:t xml:space="preserve"> района Красноярского края</w:t>
            </w:r>
          </w:p>
        </w:tc>
      </w:tr>
      <w:tr w:rsidR="003713BA" w:rsidRPr="003713BA" w:rsidTr="003713BA">
        <w:trPr>
          <w:trHeight w:val="102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06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1 08 04 020 01 1000 110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06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1 08 04 020 01 4000 110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Прочие поступления государственной пошлины</w:t>
            </w:r>
          </w:p>
        </w:tc>
      </w:tr>
      <w:tr w:rsidR="003713BA" w:rsidRPr="003713BA" w:rsidTr="003713BA">
        <w:trPr>
          <w:trHeight w:val="93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1 11 05 035 10 0000 120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13BA" w:rsidRPr="003713BA" w:rsidTr="003713BA">
        <w:trPr>
          <w:trHeight w:val="93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1 11 09 045 10 0000 120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13BA" w:rsidRPr="003713BA" w:rsidTr="003713BA">
        <w:trPr>
          <w:trHeight w:val="61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1 13 01 995 10 0000 130 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13BA" w:rsidRPr="003713BA" w:rsidTr="003713BA">
        <w:trPr>
          <w:trHeight w:val="61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1 13 02 065 10 0000 130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Доходы, поступающие в порядке возмещения расходов, понесенных в связи с эксплуатацией  </w:t>
            </w:r>
            <w:r w:rsidRPr="003713BA">
              <w:rPr>
                <w:sz w:val="24"/>
                <w:szCs w:val="24"/>
                <w:lang w:eastAsia="x-none"/>
              </w:rPr>
              <w:lastRenderedPageBreak/>
              <w:t>имущества сельских  поселений</w:t>
            </w:r>
          </w:p>
        </w:tc>
      </w:tr>
      <w:tr w:rsidR="003713BA" w:rsidRPr="003713BA" w:rsidTr="003713BA">
        <w:trPr>
          <w:trHeight w:val="123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lastRenderedPageBreak/>
              <w:t>8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1 14 02 053 10 0000 410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13BA" w:rsidRPr="003713BA" w:rsidTr="003713BA">
        <w:trPr>
          <w:trHeight w:val="72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1 16 02 020 02 0000 140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3713BA">
              <w:rPr>
                <w:sz w:val="24"/>
                <w:szCs w:val="24"/>
                <w:lang w:eastAsia="x-none"/>
              </w:rPr>
              <w:t>правонарушениях</w:t>
            </w:r>
            <w:proofErr w:type="gramStart"/>
            <w:r w:rsidRPr="003713BA">
              <w:rPr>
                <w:sz w:val="24"/>
                <w:szCs w:val="24"/>
                <w:lang w:eastAsia="x-none"/>
              </w:rPr>
              <w:t>,з</w:t>
            </w:r>
            <w:proofErr w:type="gramEnd"/>
            <w:r w:rsidRPr="003713BA">
              <w:rPr>
                <w:sz w:val="24"/>
                <w:szCs w:val="24"/>
                <w:lang w:eastAsia="x-none"/>
              </w:rPr>
              <w:t>а</w:t>
            </w:r>
            <w:proofErr w:type="spellEnd"/>
            <w:r w:rsidRPr="003713BA">
              <w:rPr>
                <w:sz w:val="24"/>
                <w:szCs w:val="24"/>
                <w:lang w:eastAsia="x-none"/>
              </w:rPr>
              <w:t xml:space="preserve"> нарушение муниципальных правовых актов</w:t>
            </w:r>
          </w:p>
        </w:tc>
      </w:tr>
      <w:tr w:rsidR="003713BA" w:rsidRPr="003713BA" w:rsidTr="003713BA">
        <w:trPr>
          <w:trHeight w:val="9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1 16 07 010 10 0000 140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3713BA">
              <w:rPr>
                <w:sz w:val="24"/>
                <w:szCs w:val="24"/>
                <w:lang w:eastAsia="x-none"/>
              </w:rPr>
              <w:t xml:space="preserve">( </w:t>
            </w:r>
            <w:proofErr w:type="gramEnd"/>
            <w:r w:rsidRPr="003713BA">
              <w:rPr>
                <w:sz w:val="24"/>
                <w:szCs w:val="24"/>
                <w:lang w:eastAsia="x-none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713BA" w:rsidRPr="003713BA" w:rsidTr="003713BA">
        <w:trPr>
          <w:trHeight w:val="9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1 16 07 090 10 0000 140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1 17 01 050 10 0000 180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Невыясненные поступления, зачисляемые в бюджеты сельских поселений</w:t>
            </w:r>
          </w:p>
        </w:tc>
      </w:tr>
      <w:tr w:rsidR="003713BA" w:rsidRPr="003713BA" w:rsidTr="003713BA">
        <w:trPr>
          <w:trHeight w:val="48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1 17 05 050 10 0000 180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Прочие неналоговые доходы бюджетов сельских поселений</w:t>
            </w:r>
          </w:p>
        </w:tc>
      </w:tr>
      <w:tr w:rsidR="003713BA" w:rsidRPr="003713BA" w:rsidTr="003713BA">
        <w:trPr>
          <w:trHeight w:val="54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1 17 14 030 10 0000 150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Средства  самообложения граждан, зачисляемые в бюджеты сельских поселений</w:t>
            </w:r>
          </w:p>
        </w:tc>
      </w:tr>
      <w:tr w:rsidR="003713BA" w:rsidRPr="003713BA" w:rsidTr="003713BA">
        <w:trPr>
          <w:trHeight w:val="67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2 02 16 001 10 0001 150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2 02 16 001 10 0002 150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3713BA">
              <w:rPr>
                <w:sz w:val="24"/>
                <w:szCs w:val="24"/>
                <w:lang w:eastAsia="x-none"/>
              </w:rPr>
              <w:t>дств кр</w:t>
            </w:r>
            <w:proofErr w:type="gramEnd"/>
            <w:r w:rsidRPr="003713BA">
              <w:rPr>
                <w:sz w:val="24"/>
                <w:szCs w:val="24"/>
                <w:lang w:eastAsia="x-none"/>
              </w:rPr>
              <w:t>аевого бюджета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2 02 30 024 10 7514 150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2 02 35 118 10 0000 150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</w:t>
            </w:r>
            <w:r w:rsidRPr="003713BA">
              <w:rPr>
                <w:sz w:val="24"/>
                <w:szCs w:val="24"/>
                <w:lang w:eastAsia="x-none"/>
              </w:rPr>
              <w:lastRenderedPageBreak/>
              <w:t>и городских округов</w:t>
            </w:r>
          </w:p>
        </w:tc>
      </w:tr>
      <w:tr w:rsidR="003713BA" w:rsidRPr="003713BA" w:rsidTr="003713BA">
        <w:trPr>
          <w:trHeight w:val="88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lastRenderedPageBreak/>
              <w:t>19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2 02 40 014 05 0000 150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2 02 49 999 10 0001 150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2 02 49999 10 7412 150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2 02 49 999 10 7508 150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3713BA" w:rsidRPr="003713BA" w:rsidTr="003713BA">
        <w:trPr>
          <w:trHeight w:val="61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2 02 90 054 10 0000 150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3713BA" w:rsidRPr="003713BA" w:rsidTr="003713BA">
        <w:trPr>
          <w:trHeight w:val="61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2 03 05099 10 0000 150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3713BA" w:rsidRPr="003713BA" w:rsidTr="003713BA">
        <w:trPr>
          <w:trHeight w:val="61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2 04 05099 10 0000 150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713BA" w:rsidRPr="003713BA" w:rsidTr="003713BA">
        <w:trPr>
          <w:trHeight w:val="96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2 07 05010 10 0000 150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713BA" w:rsidRPr="003713BA" w:rsidTr="003713BA">
        <w:trPr>
          <w:trHeight w:val="6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2 07 05020 10 0000 150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713BA" w:rsidRPr="003713BA" w:rsidTr="003713BA">
        <w:trPr>
          <w:trHeight w:val="45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2 07 05030 10 0000 150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3713BA" w:rsidRPr="003713BA" w:rsidTr="003713BA">
        <w:trPr>
          <w:trHeight w:val="57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000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2 19 60 010 10 0000 150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13BA" w:rsidRPr="003713BA" w:rsidTr="003713BA">
        <w:trPr>
          <w:trHeight w:val="735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3713BA">
              <w:rPr>
                <w:b/>
                <w:bCs/>
                <w:sz w:val="24"/>
                <w:szCs w:val="24"/>
                <w:lang w:eastAsia="x-none"/>
              </w:rPr>
              <w:t>991</w:t>
            </w:r>
          </w:p>
        </w:tc>
        <w:tc>
          <w:tcPr>
            <w:tcW w:w="7695" w:type="dxa"/>
            <w:gridSpan w:val="2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3713BA">
              <w:rPr>
                <w:b/>
                <w:bCs/>
                <w:sz w:val="24"/>
                <w:szCs w:val="24"/>
                <w:lang w:eastAsia="x-none"/>
              </w:rPr>
              <w:t xml:space="preserve">Финансовое управление администрации  </w:t>
            </w:r>
            <w:proofErr w:type="spellStart"/>
            <w:r w:rsidRPr="003713BA">
              <w:rPr>
                <w:b/>
                <w:bCs/>
                <w:sz w:val="24"/>
                <w:szCs w:val="24"/>
                <w:lang w:eastAsia="x-none"/>
              </w:rPr>
              <w:t>Ирбейского</w:t>
            </w:r>
            <w:proofErr w:type="spellEnd"/>
            <w:r w:rsidRPr="003713BA">
              <w:rPr>
                <w:b/>
                <w:bCs/>
                <w:sz w:val="24"/>
                <w:szCs w:val="24"/>
                <w:lang w:eastAsia="x-none"/>
              </w:rPr>
              <w:t xml:space="preserve"> района</w:t>
            </w:r>
          </w:p>
        </w:tc>
      </w:tr>
      <w:tr w:rsidR="003713BA" w:rsidRPr="003713BA" w:rsidTr="003713BA">
        <w:trPr>
          <w:trHeight w:val="30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991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1 17 01 050 10 0000 180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Невыясненные поступления, зачисляемые в доходы поселений</w:t>
            </w:r>
          </w:p>
        </w:tc>
      </w:tr>
      <w:tr w:rsidR="003713BA" w:rsidRPr="003713BA" w:rsidTr="003713BA">
        <w:trPr>
          <w:trHeight w:val="1260"/>
        </w:trPr>
        <w:tc>
          <w:tcPr>
            <w:tcW w:w="913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lastRenderedPageBreak/>
              <w:t>32</w:t>
            </w:r>
          </w:p>
        </w:tc>
        <w:tc>
          <w:tcPr>
            <w:tcW w:w="1106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991</w:t>
            </w:r>
          </w:p>
        </w:tc>
        <w:tc>
          <w:tcPr>
            <w:tcW w:w="1818" w:type="dxa"/>
            <w:noWrap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 xml:space="preserve">2 08 05 000 10 0000 150 </w:t>
            </w:r>
          </w:p>
        </w:tc>
        <w:tc>
          <w:tcPr>
            <w:tcW w:w="5877" w:type="dxa"/>
            <w:hideMark/>
          </w:tcPr>
          <w:p w:rsidR="003713BA" w:rsidRPr="003713BA" w:rsidRDefault="003713BA" w:rsidP="003713BA">
            <w:pPr>
              <w:shd w:val="clear" w:color="auto" w:fill="FFFFFF"/>
              <w:spacing w:after="0" w:line="317" w:lineRule="exact"/>
              <w:rPr>
                <w:sz w:val="24"/>
                <w:szCs w:val="24"/>
                <w:lang w:eastAsia="x-none"/>
              </w:rPr>
            </w:pPr>
            <w:r w:rsidRPr="003713BA">
              <w:rPr>
                <w:sz w:val="24"/>
                <w:szCs w:val="24"/>
                <w:lang w:eastAsia="x-none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E032B" w:rsidRPr="001B7662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2E032B" w:rsidRPr="001B7662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2E032B" w:rsidRPr="001B7662" w:rsidRDefault="002E032B" w:rsidP="004B5C47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  <w:lang w:eastAsia="x-none"/>
        </w:rPr>
      </w:pPr>
    </w:p>
    <w:p w:rsidR="000D2E39" w:rsidRDefault="000D2E39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13BA" w:rsidRPr="001B7662" w:rsidRDefault="003713BA" w:rsidP="004B5C4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4B5C47" w:rsidRPr="00C63061" w:rsidTr="0085301C">
        <w:tc>
          <w:tcPr>
            <w:tcW w:w="9714" w:type="dxa"/>
          </w:tcPr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4B5C47" w:rsidRPr="00C63061" w:rsidRDefault="004B5C47" w:rsidP="00853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4B5C47" w:rsidRPr="00C63061" w:rsidRDefault="004B5C47" w:rsidP="0085301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4B5C47" w:rsidRPr="00C63061" w:rsidRDefault="004B5C47" w:rsidP="0085301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630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630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630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0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C630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C63061" w:rsidRDefault="004B5C47" w:rsidP="00C63061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C63061" w:rsidSect="002E032B">
      <w:headerReference w:type="default" r:id="rId11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CA" w:rsidRDefault="007062CA" w:rsidP="00B0115D">
      <w:pPr>
        <w:spacing w:after="0" w:line="240" w:lineRule="auto"/>
      </w:pPr>
      <w:r>
        <w:separator/>
      </w:r>
    </w:p>
  </w:endnote>
  <w:endnote w:type="continuationSeparator" w:id="0">
    <w:p w:rsidR="007062CA" w:rsidRDefault="007062CA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CA" w:rsidRDefault="007062CA" w:rsidP="00B0115D">
      <w:pPr>
        <w:spacing w:after="0" w:line="240" w:lineRule="auto"/>
      </w:pPr>
      <w:r>
        <w:separator/>
      </w:r>
    </w:p>
  </w:footnote>
  <w:footnote w:type="continuationSeparator" w:id="0">
    <w:p w:rsidR="007062CA" w:rsidRDefault="007062CA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3713BA">
      <w:rPr>
        <w:rFonts w:ascii="Times New Roman" w:hAnsi="Times New Roman"/>
        <w:noProof/>
        <w:sz w:val="24"/>
        <w:szCs w:val="24"/>
      </w:rPr>
      <w:t>5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8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7"/>
  </w:num>
  <w:num w:numId="15">
    <w:abstractNumId w:val="1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13BA"/>
    <w:rsid w:val="00373BD3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2AB4"/>
    <w:rsid w:val="006F54C7"/>
    <w:rsid w:val="00705F3C"/>
    <w:rsid w:val="007062CA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93272"/>
    <w:rsid w:val="00C941C3"/>
    <w:rsid w:val="00C96870"/>
    <w:rsid w:val="00C96E80"/>
    <w:rsid w:val="00CA156E"/>
    <w:rsid w:val="00CA446E"/>
    <w:rsid w:val="00CA63B1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0D2DA33562783D1EBFC1B74392B702F0EB95144495F702D740A2870FA357382F3C056C0739C87EC91930I1z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6E6D-CB13-4D04-A4C2-A3F09BE5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9160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5</cp:revision>
  <cp:lastPrinted>2021-10-21T04:33:00Z</cp:lastPrinted>
  <dcterms:created xsi:type="dcterms:W3CDTF">2021-12-20T00:35:00Z</dcterms:created>
  <dcterms:modified xsi:type="dcterms:W3CDTF">2021-12-20T02:21:00Z</dcterms:modified>
</cp:coreProperties>
</file>