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7" w:rsidRDefault="00323B27" w:rsidP="004802C0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 w:rsidR="00B14CE3" w:rsidRPr="004802C0">
        <w:rPr>
          <w:rFonts w:ascii="Times New Roman" w:hAnsi="Times New Roman" w:cs="Times New Roman"/>
          <w:sz w:val="28"/>
          <w:szCs w:val="28"/>
        </w:rPr>
        <w:t>4</w:t>
      </w:r>
      <w:r w:rsidRPr="004802C0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4802C0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4802C0" w:rsidRPr="004802C0" w:rsidRDefault="004802C0" w:rsidP="004802C0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23B27" w:rsidRDefault="00323B27" w:rsidP="004802C0">
      <w:pPr>
        <w:pStyle w:val="a3"/>
        <w:spacing w:before="0" w:after="0"/>
        <w:ind w:firstLine="567"/>
        <w:jc w:val="both"/>
        <w:rPr>
          <w:szCs w:val="28"/>
        </w:rPr>
      </w:pPr>
      <w:bookmarkStart w:id="0" w:name="_docStart_8"/>
      <w:bookmarkStart w:id="1" w:name="_title_8"/>
      <w:bookmarkStart w:id="2" w:name="_ref_1-9826518fc4c94d"/>
      <w:bookmarkEnd w:id="0"/>
      <w:r w:rsidRPr="004802C0">
        <w:rPr>
          <w:szCs w:val="28"/>
        </w:rPr>
        <w:t>Положение о комиссии по поступлению и выбытию активов</w:t>
      </w:r>
      <w:bookmarkEnd w:id="1"/>
      <w:bookmarkEnd w:id="2"/>
    </w:p>
    <w:p w:rsidR="004802C0" w:rsidRPr="004802C0" w:rsidRDefault="004802C0" w:rsidP="004802C0"/>
    <w:p w:rsidR="00323B27" w:rsidRPr="004802C0" w:rsidRDefault="00323B27" w:rsidP="004802C0">
      <w:pPr>
        <w:pStyle w:val="heading1normal"/>
        <w:numPr>
          <w:ilvl w:val="0"/>
          <w:numId w:val="2"/>
        </w:numPr>
        <w:spacing w:before="0" w:after="0" w:line="240" w:lineRule="auto"/>
        <w:ind w:firstLine="567"/>
        <w:rPr>
          <w:sz w:val="28"/>
          <w:szCs w:val="28"/>
        </w:rPr>
      </w:pPr>
      <w:bookmarkStart w:id="3" w:name="_ref_1-730c13f5d6754b"/>
      <w:r w:rsidRPr="004802C0">
        <w:rPr>
          <w:b/>
          <w:sz w:val="28"/>
          <w:szCs w:val="28"/>
        </w:rPr>
        <w:t>Общие положения</w:t>
      </w:r>
      <w:bookmarkEnd w:id="3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4" w:name="_ref_1-d9408a4ce3414b"/>
      <w:r w:rsidRPr="004802C0">
        <w:rPr>
          <w:sz w:val="28"/>
          <w:szCs w:val="28"/>
        </w:rPr>
        <w:t>Состав комиссии по поступлению и выбытию активов (далее - комиссия) утверждается ежегодно отдельным распорядительным актом руководителя.</w:t>
      </w:r>
      <w:bookmarkEnd w:id="4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5" w:name="_ref_1-ad8f7e61107541"/>
      <w:r w:rsidRPr="004802C0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5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6" w:name="_ref_1-f64c966bc47f4a"/>
      <w:r w:rsidRPr="004802C0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6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7" w:name="_ref_1-343e35a4464349"/>
      <w:r w:rsidRPr="004802C0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7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8" w:name="_ref_1-4d91984cd6714a"/>
      <w:r w:rsidRPr="004802C0">
        <w:rPr>
          <w:sz w:val="28"/>
          <w:szCs w:val="28"/>
        </w:rPr>
        <w:t>Заседание комиссии правомочно при наличии не менее 2/3 ее состава.</w:t>
      </w:r>
      <w:bookmarkEnd w:id="8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9" w:name="_ref_1-ae15b97ef0f244"/>
      <w:r w:rsidRPr="004802C0">
        <w:rPr>
          <w:sz w:val="28"/>
          <w:szCs w:val="28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9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0" w:name="_ref_1-f37bc9296ab44c"/>
      <w:r w:rsidRPr="004802C0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0"/>
    </w:p>
    <w:p w:rsidR="00323B27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1" w:name="_ref_1-71dd3479e9064d"/>
      <w:r w:rsidRPr="004802C0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1"/>
    </w:p>
    <w:p w:rsidR="004802C0" w:rsidRPr="004802C0" w:rsidRDefault="004802C0" w:rsidP="004802C0"/>
    <w:p w:rsidR="00323B27" w:rsidRDefault="00323B27" w:rsidP="004802C0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12" w:name="_ref_1-ce6efbf8fb6e47"/>
      <w:r w:rsidRPr="004802C0">
        <w:rPr>
          <w:b/>
          <w:sz w:val="28"/>
          <w:szCs w:val="28"/>
        </w:rPr>
        <w:t>Принятие решений по поступлению активов</w:t>
      </w:r>
      <w:bookmarkEnd w:id="12"/>
    </w:p>
    <w:p w:rsidR="004802C0" w:rsidRPr="004802C0" w:rsidRDefault="004802C0" w:rsidP="004802C0"/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3" w:name="_ref_1-40d79934ff424c"/>
      <w:r w:rsidRPr="004802C0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3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определение категории нефинансовых активов (основные средства, нематериальные активы, непроизведенные активы или материальные запасы), </w:t>
      </w:r>
      <w:proofErr w:type="gramStart"/>
      <w:r w:rsidRPr="004802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02C0">
        <w:rPr>
          <w:rFonts w:ascii="Times New Roman" w:hAnsi="Times New Roman" w:cs="Times New Roman"/>
          <w:sz w:val="28"/>
          <w:szCs w:val="28"/>
        </w:rPr>
        <w:t xml:space="preserve"> которой относится поступившее имущество;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lastRenderedPageBreak/>
        <w:t>- определение первоначальной стоимости и метода амортизации поступивших объектов нефинансовых активов;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4" w:name="_ref_1-53723f9e442a4f"/>
      <w:r w:rsidRPr="004802C0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4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5" w:name="_ref_1-34adf91607fa4e"/>
      <w:r w:rsidRPr="004802C0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5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6" w:name="_ref_1-ec210956aaf046"/>
      <w:r w:rsidRPr="004802C0">
        <w:rPr>
          <w:sz w:val="28"/>
          <w:szCs w:val="28"/>
        </w:rPr>
        <w:t>В случае достройки, реконструкции, модернизации объектов основных сре</w:t>
      </w:r>
      <w:proofErr w:type="gramStart"/>
      <w:r w:rsidRPr="004802C0">
        <w:rPr>
          <w:sz w:val="28"/>
          <w:szCs w:val="28"/>
        </w:rPr>
        <w:t>дств пр</w:t>
      </w:r>
      <w:proofErr w:type="gramEnd"/>
      <w:r w:rsidRPr="004802C0">
        <w:rPr>
          <w:sz w:val="28"/>
          <w:szCs w:val="28"/>
        </w:rPr>
        <w:t>оизводится увеличение их первоначальной стоимости на сумму сформированных капитальных вложений в эти объекты.</w:t>
      </w:r>
      <w:bookmarkEnd w:id="16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8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0504103)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. Частичная ликвидация объекта основных сре</w:t>
      </w:r>
      <w:proofErr w:type="gramStart"/>
      <w:r w:rsidRPr="004802C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802C0">
        <w:rPr>
          <w:rFonts w:ascii="Times New Roman" w:hAnsi="Times New Roman" w:cs="Times New Roman"/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9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0504103)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7" w:name="_ref_1-cb293971feb940"/>
      <w:r w:rsidRPr="004802C0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7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10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0504101)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lastRenderedPageBreak/>
        <w:t xml:space="preserve">- Приходным ордером на приемку материальных ценностей (нефинансовых активов) </w:t>
      </w:r>
      <w:hyperlink r:id="rId11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0504207)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Актом приемки материалов (материальных ценностей) </w:t>
      </w:r>
      <w:hyperlink r:id="rId12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0504220)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8" w:name="_ref_1-401de02538a64e"/>
      <w:r w:rsidRPr="004802C0">
        <w:rPr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8"/>
    </w:p>
    <w:p w:rsidR="00323B27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9" w:name="_ref_1-82062f1eea1643"/>
      <w:r w:rsidRPr="004802C0">
        <w:rPr>
          <w:sz w:val="28"/>
          <w:szCs w:val="28"/>
        </w:rPr>
        <w:t>Присвоенный объекту инвентарный номер наносится лицом, ответственным за сохранность или использование по назначению объекта имущества (далее – ответственное лицо) в присутствии уполномоченного члена комиссии в порядке, определенном Учетной политикой.</w:t>
      </w:r>
      <w:bookmarkEnd w:id="19"/>
    </w:p>
    <w:p w:rsidR="004802C0" w:rsidRPr="004802C0" w:rsidRDefault="004802C0" w:rsidP="004802C0"/>
    <w:p w:rsidR="00323B27" w:rsidRDefault="00323B27" w:rsidP="004802C0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20" w:name="_ref_1-709562455cd140"/>
      <w:r w:rsidRPr="004802C0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0"/>
    </w:p>
    <w:p w:rsidR="004802C0" w:rsidRPr="004802C0" w:rsidRDefault="004802C0" w:rsidP="004802C0"/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1" w:name="_ref_1-0f33135fa9dc41"/>
      <w:r w:rsidRPr="004802C0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1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4802C0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4802C0">
        <w:rPr>
          <w:rFonts w:ascii="Times New Roman" w:hAnsi="Times New Roman" w:cs="Times New Roman"/>
          <w:sz w:val="28"/>
          <w:szCs w:val="28"/>
        </w:rPr>
        <w:t xml:space="preserve"> счете 21);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 частичной ликвидации (</w:t>
      </w:r>
      <w:proofErr w:type="spellStart"/>
      <w:r w:rsidRPr="004802C0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4802C0">
        <w:rPr>
          <w:rFonts w:ascii="Times New Roman" w:hAnsi="Times New Roman" w:cs="Times New Roman"/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4802C0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4802C0">
        <w:rPr>
          <w:rFonts w:ascii="Times New Roman" w:hAnsi="Times New Roman" w:cs="Times New Roman"/>
          <w:sz w:val="28"/>
          <w:szCs w:val="28"/>
        </w:rPr>
        <w:t xml:space="preserve"> учета задолженности, признанной безнадежной к взысканию.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2" w:name="_ref_1-10da220bba944c"/>
      <w:r w:rsidRPr="004802C0">
        <w:rPr>
          <w:sz w:val="28"/>
          <w:szCs w:val="28"/>
        </w:rPr>
        <w:t>Решение о выбытии имущества принимается, если оно:</w:t>
      </w:r>
      <w:bookmarkEnd w:id="22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4802C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802C0">
        <w:rPr>
          <w:rFonts w:ascii="Times New Roman" w:hAnsi="Times New Roman" w:cs="Times New Roman"/>
          <w:sz w:val="28"/>
          <w:szCs w:val="28"/>
        </w:rPr>
        <w:t xml:space="preserve"> если невозможно выяснить его местонахождение;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2C0">
        <w:rPr>
          <w:rFonts w:ascii="Times New Roman" w:hAnsi="Times New Roman" w:cs="Times New Roman"/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РФ.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3" w:name="_ref_1-2136b8f103da49"/>
      <w:r w:rsidRPr="004802C0">
        <w:rPr>
          <w:sz w:val="28"/>
          <w:szCs w:val="28"/>
        </w:rPr>
        <w:lastRenderedPageBreak/>
        <w:t>Решение о списании имущества принимается комиссией после проведения следующих мероприятий:</w:t>
      </w:r>
      <w:bookmarkEnd w:id="23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2C0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4" w:name="_ref_1-9d750e63e17740"/>
      <w:r w:rsidRPr="004802C0">
        <w:rPr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4802C0">
        <w:rPr>
          <w:sz w:val="28"/>
          <w:szCs w:val="28"/>
        </w:rPr>
        <w:t>забалансовый</w:t>
      </w:r>
      <w:proofErr w:type="spellEnd"/>
      <w:r w:rsidRPr="004802C0">
        <w:rPr>
          <w:sz w:val="28"/>
          <w:szCs w:val="28"/>
        </w:rPr>
        <w:t xml:space="preserve"> учет.</w:t>
      </w:r>
      <w:bookmarkEnd w:id="24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Решение о списании задолженности с </w:t>
      </w:r>
      <w:proofErr w:type="spellStart"/>
      <w:r w:rsidRPr="004802C0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4802C0">
        <w:rPr>
          <w:rFonts w:ascii="Times New Roman" w:hAnsi="Times New Roman" w:cs="Times New Roman"/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5" w:name="_ref_1-cef0bbd8b7d945"/>
      <w:r w:rsidRPr="004802C0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5"/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 о приеме-передаче объектов нефинансовых активов </w:t>
      </w:r>
      <w:hyperlink r:id="rId13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0504101)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4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0504104)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 о списании транспортного средства </w:t>
      </w:r>
      <w:hyperlink r:id="rId15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0504105)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 о списании мягкого и хозяйственного инвентаря </w:t>
      </w:r>
      <w:hyperlink r:id="rId16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0504143)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;</w:t>
      </w:r>
    </w:p>
    <w:p w:rsidR="00323B27" w:rsidRPr="004802C0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 xml:space="preserve">- Акт о списании материальных запасов </w:t>
      </w:r>
      <w:hyperlink r:id="rId17" w:history="1">
        <w:r w:rsidRPr="004802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(ф. 0504230)</w:t>
        </w:r>
      </w:hyperlink>
      <w:r w:rsidRPr="004802C0">
        <w:rPr>
          <w:rFonts w:ascii="Times New Roman" w:hAnsi="Times New Roman" w:cs="Times New Roman"/>
          <w:sz w:val="28"/>
          <w:szCs w:val="28"/>
        </w:rPr>
        <w:t>.</w:t>
      </w:r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6" w:name="_ref_1-7948bb732b2f40"/>
      <w:r w:rsidRPr="004802C0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6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7" w:name="_ref_1-3a6cdded410d42"/>
      <w:r w:rsidRPr="004802C0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7"/>
    </w:p>
    <w:p w:rsidR="00323B27" w:rsidRDefault="00323B27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C0">
        <w:rPr>
          <w:rFonts w:ascii="Times New Roman" w:hAnsi="Times New Roman" w:cs="Times New Roman"/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4802C0" w:rsidRPr="004802C0" w:rsidRDefault="004802C0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B27" w:rsidRDefault="00323B27" w:rsidP="004802C0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28" w:name="_ref_1-5350bc91b37843"/>
      <w:r w:rsidRPr="004802C0">
        <w:rPr>
          <w:b/>
          <w:sz w:val="28"/>
          <w:szCs w:val="28"/>
        </w:rPr>
        <w:t>Принятие решений по вопросам обесценения активов</w:t>
      </w:r>
      <w:bookmarkEnd w:id="28"/>
    </w:p>
    <w:p w:rsidR="004802C0" w:rsidRPr="004802C0" w:rsidRDefault="004802C0" w:rsidP="004802C0"/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9" w:name="_ref_1-3c69f47ac15142"/>
      <w:r w:rsidRPr="004802C0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9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0" w:name="_ref_1-5a71594073a64f"/>
      <w:r w:rsidRPr="004802C0">
        <w:rPr>
          <w:sz w:val="28"/>
          <w:szCs w:val="28"/>
        </w:rPr>
        <w:t xml:space="preserve">Если по результатам рассмотрения выявленные признаки обесценения (снижения убытка) признаны существенными, комиссия </w:t>
      </w:r>
      <w:r w:rsidRPr="004802C0">
        <w:rPr>
          <w:sz w:val="28"/>
          <w:szCs w:val="28"/>
        </w:rPr>
        <w:lastRenderedPageBreak/>
        <w:t>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0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1" w:name="_ref_1-d09e0e10960044"/>
      <w:r w:rsidRPr="004802C0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1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2" w:name="_ref_1-5d1bf8169d7543"/>
      <w:r w:rsidRPr="004802C0">
        <w:rPr>
          <w:sz w:val="28"/>
          <w:szCs w:val="28"/>
        </w:rPr>
        <w:t xml:space="preserve">В случае необходимости определить справедливую стоимость </w:t>
      </w:r>
      <w:bookmarkStart w:id="33" w:name="_GoBack"/>
      <w:r w:rsidRPr="004802C0">
        <w:rPr>
          <w:sz w:val="28"/>
          <w:szCs w:val="28"/>
        </w:rPr>
        <w:t>комиссия утверждает метод, который будет при этом использоваться.</w:t>
      </w:r>
      <w:bookmarkEnd w:id="32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4" w:name="_ref_1-5a5eeb145efd48"/>
      <w:r w:rsidRPr="004802C0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4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5" w:name="_ref_1-1dd3d351c24e43"/>
      <w:r w:rsidRPr="004802C0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323B27" w:rsidRPr="004802C0" w:rsidRDefault="00323B27" w:rsidP="004802C0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6" w:name="_ref_1-dcc4da22e8d040"/>
      <w:r w:rsidRPr="004802C0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7" w:name="_docEnd_8"/>
      <w:bookmarkEnd w:id="36"/>
      <w:bookmarkEnd w:id="37"/>
    </w:p>
    <w:bookmarkEnd w:id="33"/>
    <w:p w:rsidR="005F1410" w:rsidRPr="004802C0" w:rsidRDefault="005F1410" w:rsidP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C0" w:rsidRPr="004802C0" w:rsidRDefault="0048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02C0" w:rsidRPr="004802C0" w:rsidSect="00813489">
      <w:headerReference w:type="default" r:id="rId18"/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AD" w:rsidRDefault="009109AD" w:rsidP="00813489">
      <w:pPr>
        <w:spacing w:after="0" w:line="240" w:lineRule="auto"/>
      </w:pPr>
      <w:r>
        <w:separator/>
      </w:r>
    </w:p>
  </w:endnote>
  <w:endnote w:type="continuationSeparator" w:id="0">
    <w:p w:rsidR="009109AD" w:rsidRDefault="009109AD" w:rsidP="0081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5F1410">
    <w:pPr>
      <w:pStyle w:val="a7"/>
    </w:pPr>
    <w:r>
      <w:t xml:space="preserve">страница </w:t>
    </w:r>
    <w:r w:rsidR="00836BD5">
      <w:fldChar w:fldCharType="begin"/>
    </w:r>
    <w:r>
      <w:instrText xml:space="preserve"> PAGE \* MERGEFORMAT </w:instrText>
    </w:r>
    <w:r w:rsidR="00836BD5">
      <w:fldChar w:fldCharType="separate"/>
    </w:r>
    <w:r w:rsidR="004802C0">
      <w:rPr>
        <w:noProof/>
      </w:rPr>
      <w:t>5</w:t>
    </w:r>
    <w:r w:rsidR="00836BD5">
      <w:fldChar w:fldCharType="end"/>
    </w:r>
    <w:r>
      <w:t xml:space="preserve"> из </w:t>
    </w:r>
    <w:r w:rsidR="00836BD5">
      <w:fldChar w:fldCharType="begin"/>
    </w:r>
    <w:r>
      <w:instrText xml:space="preserve"> SECTIONPAGES </w:instrText>
    </w:r>
    <w:r w:rsidR="00836BD5">
      <w:fldChar w:fldCharType="separate"/>
    </w:r>
    <w:r w:rsidR="004802C0">
      <w:rPr>
        <w:noProof/>
      </w:rPr>
      <w:t>5</w:t>
    </w:r>
    <w:r w:rsidR="00836BD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5F1410">
    <w:pPr>
      <w:pStyle w:val="a7"/>
    </w:pPr>
    <w:r>
      <w:t xml:space="preserve">страница </w:t>
    </w:r>
    <w:r w:rsidR="00836BD5">
      <w:fldChar w:fldCharType="begin"/>
    </w:r>
    <w:r>
      <w:instrText xml:space="preserve"> PAGE \* MERGEFORMAT </w:instrText>
    </w:r>
    <w:r w:rsidR="00836BD5">
      <w:fldChar w:fldCharType="separate"/>
    </w:r>
    <w:r w:rsidR="00323B27">
      <w:rPr>
        <w:noProof/>
      </w:rPr>
      <w:t>1</w:t>
    </w:r>
    <w:r w:rsidR="00836BD5">
      <w:fldChar w:fldCharType="end"/>
    </w:r>
    <w:r>
      <w:t xml:space="preserve"> из </w:t>
    </w:r>
    <w:r w:rsidR="00836BD5">
      <w:fldChar w:fldCharType="begin"/>
    </w:r>
    <w:r>
      <w:instrText xml:space="preserve"> SECTIONPAGES </w:instrText>
    </w:r>
    <w:r w:rsidR="00836BD5">
      <w:fldChar w:fldCharType="separate"/>
    </w:r>
    <w:r w:rsidR="00323B27">
      <w:rPr>
        <w:noProof/>
      </w:rPr>
      <w:t>4</w:t>
    </w:r>
    <w:r w:rsidR="00836BD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AD" w:rsidRDefault="009109AD" w:rsidP="00813489">
      <w:pPr>
        <w:spacing w:after="0" w:line="240" w:lineRule="auto"/>
      </w:pPr>
      <w:r>
        <w:separator/>
      </w:r>
    </w:p>
  </w:footnote>
  <w:footnote w:type="continuationSeparator" w:id="0">
    <w:p w:rsidR="009109AD" w:rsidRDefault="009109AD" w:rsidP="0081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5F1410">
    <w:pPr>
      <w:pStyle w:val="a5"/>
    </w:pPr>
    <w:r>
      <w:t>Положение о комиссии по поступлению и выбытию активов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B27"/>
    <w:rsid w:val="00323B27"/>
    <w:rsid w:val="00392A97"/>
    <w:rsid w:val="00466D9F"/>
    <w:rsid w:val="004802C0"/>
    <w:rsid w:val="005F1410"/>
    <w:rsid w:val="00813489"/>
    <w:rsid w:val="00836BD5"/>
    <w:rsid w:val="009109AD"/>
    <w:rsid w:val="00B14CE3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23B27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323B27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323B27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323B27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323B27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323B27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323B27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323B27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323B27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323B27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basedOn w:val="a0"/>
    <w:link w:val="heading1normalunnumbered"/>
    <w:uiPriority w:val="9"/>
    <w:rsid w:val="00323B27"/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rsid w:val="00323B27"/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23B27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23B27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23B27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23B27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3B27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23B27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unhideWhenUsed/>
    <w:rsid w:val="00323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0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dcterms:created xsi:type="dcterms:W3CDTF">2020-12-18T04:54:00Z</dcterms:created>
  <dcterms:modified xsi:type="dcterms:W3CDTF">2022-12-15T01:28:00Z</dcterms:modified>
</cp:coreProperties>
</file>